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Rule="auto"/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Support and Push Cards for the Commission Problem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  <w:t xml:space="preserve">Cut out these cards before class. Share a card with a group of students only if they need it to keep working productively.</w:t>
      </w: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rPr>
          <w:trHeight w:val="14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after="100" w:before="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How much would Eric make if he didn’t sell any fish tanks?</w:t>
            </w:r>
          </w:p>
          <w:p w:rsidR="00000000" w:rsidDel="00000000" w:rsidP="00000000" w:rsidRDefault="00000000" w:rsidRPr="00000000">
            <w:pPr>
              <w:spacing w:after="10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How much would Nancy make if she didn’t sell any fish tanks?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after="10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How many fish tanks would Eric and Nancy each need to sell so that they each make </w:t>
            </w: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u w:val="single"/>
                <w:rtl w:val="0"/>
              </w:rPr>
              <w:t xml:space="preserve">exactly</w:t>
            </w: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 the same amount of money?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after="100" w:before="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How many ways can you find for Eric and Nancy to make the same amount of money in a month?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after="100" w:before="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If Eric made $2525 in a month, how many fish tanks did he sell?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after="100" w:before="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If Nancy made $3250 in a month, how many fish tanks did she sell?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after="100" w:before="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One month Nancy made twice as much as Eric, even though they sold the same number of fish tanks. How many did they each sell?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after="100" w:before="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What would Eric and Nancy’s salaries look like on a graph?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spacing w:after="100" w:before="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Write an algebraic equation for Eric’s salary.</w:t>
            </w:r>
          </w:p>
          <w:p w:rsidR="00000000" w:rsidDel="00000000" w:rsidP="00000000" w:rsidRDefault="00000000" w:rsidRPr="00000000">
            <w:pPr>
              <w:spacing w:after="100" w:before="0" w:line="264" w:lineRule="auto"/>
              <w:contextualSpacing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Write an algebraic equation for  Nancy’s salary.</w:t>
            </w:r>
          </w:p>
        </w:tc>
      </w:tr>
    </w:tbl>
    <w:p w:rsidR="00000000" w:rsidDel="00000000" w:rsidP="00000000" w:rsidRDefault="00000000" w:rsidRPr="00000000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76" w:lineRule="auto"/>
      <w:contextualSpacing w:val="0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00"/>
      <w:gridCol w:w="360"/>
      <w:tblGridChange w:id="0">
        <w:tblGrid>
          <w:gridCol w:w="9000"/>
          <w:gridCol w:w="36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00" w:line="276" w:lineRule="auto"/>
            <w:contextualSpacing w:val="0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©2017 The City University of New York Adult Literacy/HSE/ESL Program (</w:t>
          </w:r>
          <w:hyperlink r:id="rId1">
            <w:r w:rsidDel="00000000" w:rsidR="00000000" w:rsidRPr="00000000">
              <w:rPr>
                <w:sz w:val="16"/>
                <w:szCs w:val="16"/>
                <w:rtl w:val="0"/>
              </w:rPr>
              <w:t xml:space="preserve">http://literacy.cuny.edu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). This work is licensed under Creative Commons Attribution-NonCommercial 4.0 International (CC BY-NC 4.0). (Draft 11/1/17)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00" w:line="276" w:lineRule="auto"/>
            <w:contextualSpacing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From the CUNY HSE Math Curriculum Framework (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http://www.collectedny.org/hseframework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31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31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="331" w:lineRule="auto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literacy.cuny.edu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llectedny.org/hseframework" TargetMode="External"/></Relationships>
</file>